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0"/>
        </w:rPr>
      </w:pPr>
    </w:p>
    <w:p>
      <w:pPr>
        <w:pStyle w:val="BodyText"/>
        <w:ind w:left="107"/>
        <w:rPr>
          <w:rFonts w:ascii="Times New Roman"/>
          <w:sz w:val="20"/>
        </w:rPr>
      </w:pPr>
      <w:r>
        <w:rPr>
          <w:rFonts w:ascii="Times New Roman"/>
          <w:sz w:val="20"/>
        </w:rPr>
        <w:drawing>
          <wp:inline distT="0" distB="0" distL="0" distR="0">
            <wp:extent cx="7331687" cy="3262788"/>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7331687" cy="3262788"/>
                    </a:xfrm>
                    <a:prstGeom prst="rect">
                      <a:avLst/>
                    </a:prstGeom>
                  </pic:spPr>
                </pic:pic>
              </a:graphicData>
            </a:graphic>
          </wp:inline>
        </w:drawing>
      </w:r>
      <w:r>
        <w:rPr>
          <w:rFonts w:ascii="Times New Roman"/>
          <w:sz w:val="20"/>
        </w:rPr>
      </w:r>
    </w:p>
    <w:p>
      <w:pPr>
        <w:pStyle w:val="BodyText"/>
        <w:spacing w:before="3"/>
        <w:rPr>
          <w:rFonts w:ascii="Times New Roman"/>
          <w:sz w:val="19"/>
        </w:rPr>
      </w:pPr>
    </w:p>
    <w:p>
      <w:pPr>
        <w:pStyle w:val="BodyText"/>
        <w:spacing w:before="55"/>
        <w:ind w:left="1560" w:right="1677"/>
        <w:jc w:val="center"/>
      </w:pPr>
      <w:r>
        <w:rPr/>
        <w:pict>
          <v:shape style="position:absolute;margin-left:295.440002pt;margin-top:-280.19342pt;width:5.55pt;height:193.15pt;mso-position-horizontal-relative:page;mso-position-vertical-relative:paragraph;z-index:-251856896" type="#_x0000_t202" filled="false" stroked="false">
            <v:textbox inset="0,0,0,0">
              <w:txbxContent>
                <w:p>
                  <w:pPr>
                    <w:spacing w:line="501" w:lineRule="exact" w:before="0"/>
                    <w:ind w:left="0" w:right="0" w:firstLine="0"/>
                    <w:jc w:val="left"/>
                    <w:rPr>
                      <w:sz w:val="44"/>
                    </w:rPr>
                  </w:pPr>
                  <w:r>
                    <w:rPr>
                      <w:w w:val="50"/>
                      <w:sz w:val="44"/>
                    </w:rPr>
                    <w:t> </w:t>
                  </w:r>
                </w:p>
                <w:p>
                  <w:pPr>
                    <w:spacing w:line="560" w:lineRule="exact" w:before="0"/>
                    <w:ind w:left="0" w:right="0" w:firstLine="0"/>
                    <w:jc w:val="left"/>
                    <w:rPr>
                      <w:sz w:val="44"/>
                    </w:rPr>
                  </w:pPr>
                  <w:r>
                    <w:rPr>
                      <w:w w:val="50"/>
                      <w:sz w:val="44"/>
                    </w:rPr>
                    <w:t> </w:t>
                  </w:r>
                </w:p>
                <w:p>
                  <w:pPr>
                    <w:spacing w:line="560" w:lineRule="exact" w:before="0"/>
                    <w:ind w:left="0" w:right="0" w:firstLine="0"/>
                    <w:jc w:val="left"/>
                    <w:rPr>
                      <w:sz w:val="44"/>
                    </w:rPr>
                  </w:pPr>
                  <w:r>
                    <w:rPr>
                      <w:w w:val="50"/>
                      <w:sz w:val="44"/>
                    </w:rPr>
                    <w:t> </w:t>
                  </w:r>
                </w:p>
                <w:p>
                  <w:pPr>
                    <w:spacing w:line="560" w:lineRule="exact" w:before="0"/>
                    <w:ind w:left="0" w:right="0" w:firstLine="0"/>
                    <w:jc w:val="left"/>
                    <w:rPr>
                      <w:sz w:val="44"/>
                    </w:rPr>
                  </w:pPr>
                  <w:r>
                    <w:rPr>
                      <w:w w:val="50"/>
                      <w:sz w:val="44"/>
                    </w:rPr>
                    <w:t> </w:t>
                  </w:r>
                </w:p>
                <w:p>
                  <w:pPr>
                    <w:spacing w:line="560" w:lineRule="exact" w:before="0"/>
                    <w:ind w:left="0" w:right="0" w:firstLine="0"/>
                    <w:jc w:val="left"/>
                    <w:rPr>
                      <w:sz w:val="44"/>
                    </w:rPr>
                  </w:pPr>
                  <w:r>
                    <w:rPr>
                      <w:w w:val="50"/>
                      <w:sz w:val="44"/>
                    </w:rPr>
                    <w:t> </w:t>
                  </w:r>
                </w:p>
                <w:p>
                  <w:pPr>
                    <w:spacing w:line="560" w:lineRule="exact" w:before="0"/>
                    <w:ind w:left="0" w:right="0" w:firstLine="0"/>
                    <w:jc w:val="left"/>
                    <w:rPr>
                      <w:sz w:val="44"/>
                    </w:rPr>
                  </w:pPr>
                  <w:r>
                    <w:rPr>
                      <w:w w:val="50"/>
                      <w:sz w:val="44"/>
                    </w:rPr>
                    <w:t> </w:t>
                  </w:r>
                </w:p>
                <w:p>
                  <w:pPr>
                    <w:spacing w:line="561" w:lineRule="exact" w:before="0"/>
                    <w:ind w:left="0" w:right="0" w:firstLine="0"/>
                    <w:jc w:val="left"/>
                    <w:rPr>
                      <w:sz w:val="44"/>
                    </w:rPr>
                  </w:pPr>
                  <w:r>
                    <w:rPr>
                      <w:w w:val="50"/>
                      <w:sz w:val="44"/>
                    </w:rPr>
                    <w:t> </w:t>
                  </w:r>
                </w:p>
              </w:txbxContent>
            </v:textbox>
            <w10:wrap type="none"/>
          </v:shape>
        </w:pict>
      </w:r>
      <w:r>
        <w:rPr/>
        <w:pict>
          <v:shape style="position:absolute;margin-left:295.440002pt;margin-top:-84.169189pt;width:5.55pt;height:81.1pt;mso-position-horizontal-relative:page;mso-position-vertical-relative:paragraph;z-index:-251855872" type="#_x0000_t202" filled="false" stroked="false">
            <v:textbox inset="0,0,0,0">
              <w:txbxContent>
                <w:p>
                  <w:pPr>
                    <w:spacing w:line="501" w:lineRule="exact" w:before="0"/>
                    <w:ind w:left="0" w:right="0" w:firstLine="0"/>
                    <w:jc w:val="left"/>
                    <w:rPr>
                      <w:sz w:val="44"/>
                    </w:rPr>
                  </w:pPr>
                  <w:r>
                    <w:rPr>
                      <w:w w:val="50"/>
                      <w:sz w:val="44"/>
                    </w:rPr>
                    <w:t> </w:t>
                  </w:r>
                </w:p>
                <w:p>
                  <w:pPr>
                    <w:spacing w:line="560" w:lineRule="exact" w:before="0"/>
                    <w:ind w:left="0" w:right="0" w:firstLine="0"/>
                    <w:jc w:val="left"/>
                    <w:rPr>
                      <w:sz w:val="44"/>
                    </w:rPr>
                  </w:pPr>
                  <w:r>
                    <w:rPr>
                      <w:w w:val="50"/>
                      <w:sz w:val="44"/>
                    </w:rPr>
                    <w:t> </w:t>
                  </w:r>
                </w:p>
                <w:p>
                  <w:pPr>
                    <w:spacing w:line="561" w:lineRule="exact" w:before="0"/>
                    <w:ind w:left="0" w:right="0" w:firstLine="0"/>
                    <w:jc w:val="left"/>
                    <w:rPr>
                      <w:sz w:val="44"/>
                    </w:rPr>
                  </w:pPr>
                  <w:r>
                    <w:rPr>
                      <w:w w:val="50"/>
                      <w:sz w:val="44"/>
                    </w:rPr>
                    <w:t> </w:t>
                  </w:r>
                </w:p>
              </w:txbxContent>
            </v:textbox>
            <w10:wrap type="none"/>
          </v:shape>
        </w:pict>
      </w:r>
      <w:r>
        <w:rPr/>
        <w:t>吉教联〔2019〕21 号</w:t>
      </w:r>
    </w:p>
    <w:p>
      <w:pPr>
        <w:pStyle w:val="BodyText"/>
        <w:spacing w:before="3"/>
        <w:rPr>
          <w:sz w:val="11"/>
        </w:rPr>
      </w:pPr>
      <w:r>
        <w:rPr/>
        <w:pict>
          <v:line style="position:absolute;mso-position-horizontal-relative:page;mso-position-vertical-relative:paragraph;z-index:-251658240;mso-wrap-distance-left:0;mso-wrap-distance-right:0" from="79.320pt,9.686222pt" to="515.88pt,9.686222pt" stroked="true" strokeweight="1pt" strokecolor="#ff0000">
            <v:stroke dashstyle="solid"/>
            <w10:wrap type="topAndBottom"/>
          </v:line>
        </w:pict>
      </w:r>
    </w:p>
    <w:p>
      <w:pPr>
        <w:pStyle w:val="BodyText"/>
        <w:spacing w:before="4"/>
        <w:rPr>
          <w:sz w:val="42"/>
        </w:rPr>
      </w:pPr>
    </w:p>
    <w:p>
      <w:pPr>
        <w:pStyle w:val="Heading1"/>
        <w:spacing w:line="237" w:lineRule="auto" w:before="1"/>
        <w:ind w:left="1560" w:right="1685"/>
        <w:jc w:val="center"/>
      </w:pPr>
      <w:r>
        <w:rPr>
          <w:spacing w:val="-10"/>
        </w:rPr>
        <w:t>教育厅等六部门关于印发《关于做好高职扩招专项工作的实施方案》的通知 </w:t>
      </w:r>
    </w:p>
    <w:p>
      <w:pPr>
        <w:pStyle w:val="BodyText"/>
        <w:spacing w:before="12"/>
        <w:rPr>
          <w:sz w:val="50"/>
        </w:rPr>
      </w:pPr>
    </w:p>
    <w:p>
      <w:pPr>
        <w:pStyle w:val="BodyText"/>
        <w:spacing w:line="338" w:lineRule="auto"/>
        <w:ind w:left="1547" w:right="1509"/>
      </w:pPr>
      <w:r>
        <w:rPr>
          <w:spacing w:val="-32"/>
        </w:rPr>
        <w:t>各市</w:t>
      </w:r>
      <w:r>
        <w:rPr>
          <w:spacing w:val="-10"/>
        </w:rPr>
        <w:t>（州</w:t>
      </w:r>
      <w:r>
        <w:rPr>
          <w:spacing w:val="-165"/>
        </w:rPr>
        <w:t>）</w:t>
      </w:r>
      <w:r>
        <w:rPr>
          <w:spacing w:val="-25"/>
        </w:rPr>
        <w:t>、长白山管委会、长春新区教育局、发展改革委</w:t>
      </w:r>
      <w:r>
        <w:rPr>
          <w:spacing w:val="-10"/>
        </w:rPr>
        <w:t>（局</w:t>
      </w:r>
      <w:r>
        <w:rPr>
          <w:spacing w:val="-165"/>
        </w:rPr>
        <w:t>）</w:t>
      </w:r>
      <w:r>
        <w:rPr/>
        <w:t>、</w:t>
      </w:r>
      <w:r>
        <w:rPr>
          <w:spacing w:val="-27"/>
        </w:rPr>
        <w:t>财政局、人力资源和社会保障局、农业农村局、退役军人事务局， </w:t>
      </w:r>
      <w:r>
        <w:rPr>
          <w:spacing w:val="-6"/>
        </w:rPr>
        <w:t>梅河口市、公主岭市教育局、发展改革委（局</w:t>
      </w:r>
      <w:r>
        <w:rPr>
          <w:spacing w:val="-163"/>
        </w:rPr>
        <w:t>）</w:t>
      </w:r>
      <w:r>
        <w:rPr>
          <w:spacing w:val="-6"/>
        </w:rPr>
        <w:t>、财政局、人力</w:t>
      </w:r>
      <w:r>
        <w:rPr>
          <w:spacing w:val="-16"/>
        </w:rPr>
        <w:t>资源和社会保障局、农业农村局、退役军人事务局，各高等职业院校：</w:t>
      </w:r>
    </w:p>
    <w:p>
      <w:pPr>
        <w:pStyle w:val="BodyText"/>
        <w:spacing w:line="338" w:lineRule="auto"/>
        <w:ind w:left="1547" w:right="1661" w:firstLine="609"/>
      </w:pPr>
      <w:r>
        <w:rPr/>
        <w:t>《关于做好高职扩招专项工作的实施方案》已经省政府同意，现印发给你们，请结合实际认真贯彻执行。</w:t>
      </w:r>
    </w:p>
    <w:p>
      <w:pPr>
        <w:spacing w:after="0" w:line="338" w:lineRule="auto"/>
        <w:sectPr>
          <w:footerReference w:type="default" r:id="rId5"/>
          <w:footerReference w:type="even" r:id="rId6"/>
          <w:type w:val="continuous"/>
          <w:pgSz w:w="11910" w:h="16840"/>
          <w:pgMar w:footer="1454" w:top="1600" w:bottom="1640" w:left="40" w:right="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55"/>
        <w:ind w:left="5418"/>
      </w:pPr>
      <w:r>
        <w:rPr/>
        <w:pict>
          <v:group style="position:absolute;margin-left:99.066574pt;margin-top:-49.472099pt;width:128.75pt;height:128.5500pt;mso-position-horizontal-relative:page;mso-position-vertical-relative:paragraph;z-index:251668480" coordorigin="1981,-989" coordsize="2575,2571">
            <v:shape style="position:absolute;left:1981;top:-990;width:2575;height:2571" type="#_x0000_t75" stroked="false">
              <v:imagedata r:id="rId8" o:title=""/>
            </v:shape>
            <v:shape style="position:absolute;left:1981;top:-990;width:2575;height:2571" type="#_x0000_t202" filled="false" stroked="false">
              <v:textbox inset="0,0,0,0">
                <w:txbxContent>
                  <w:p>
                    <w:pPr>
                      <w:spacing w:line="240" w:lineRule="auto" w:before="0"/>
                      <w:rPr>
                        <w:sz w:val="32"/>
                      </w:rPr>
                    </w:pPr>
                  </w:p>
                  <w:p>
                    <w:pPr>
                      <w:spacing w:line="240" w:lineRule="auto" w:before="0"/>
                      <w:rPr>
                        <w:sz w:val="32"/>
                      </w:rPr>
                    </w:pPr>
                  </w:p>
                  <w:p>
                    <w:pPr>
                      <w:spacing w:before="224"/>
                      <w:ind w:left="368" w:right="0" w:firstLine="0"/>
                      <w:jc w:val="left"/>
                      <w:rPr>
                        <w:sz w:val="32"/>
                      </w:rPr>
                    </w:pPr>
                    <w:r>
                      <w:rPr>
                        <w:sz w:val="32"/>
                      </w:rPr>
                      <w:t>吉林省教育厅</w:t>
                    </w:r>
                  </w:p>
                </w:txbxContent>
              </v:textbox>
              <w10:wrap type="none"/>
            </v:shape>
            <w10:wrap type="none"/>
          </v:group>
        </w:pict>
      </w:r>
      <w:r>
        <w:rPr/>
        <w:drawing>
          <wp:anchor distT="0" distB="0" distL="0" distR="0" allowOverlap="1" layoutInCell="1" locked="0" behindDoc="1" simplePos="0" relativeHeight="251469824">
            <wp:simplePos x="0" y="0"/>
            <wp:positionH relativeFrom="page">
              <wp:posOffset>3750652</wp:posOffset>
            </wp:positionH>
            <wp:positionV relativeFrom="paragraph">
              <wp:posOffset>-659493</wp:posOffset>
            </wp:positionV>
            <wp:extent cx="1619873" cy="1615439"/>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9" cstate="print"/>
                    <a:stretch>
                      <a:fillRect/>
                    </a:stretch>
                  </pic:blipFill>
                  <pic:spPr>
                    <a:xfrm>
                      <a:off x="0" y="0"/>
                      <a:ext cx="1619873" cy="1615439"/>
                    </a:xfrm>
                    <a:prstGeom prst="rect">
                      <a:avLst/>
                    </a:prstGeom>
                  </pic:spPr>
                </pic:pic>
              </a:graphicData>
            </a:graphic>
          </wp:anchor>
        </w:drawing>
      </w:r>
      <w:r>
        <w:rPr/>
        <w:t>吉林省发展和改革委员会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spacing w:before="56"/>
        <w:ind w:left="5107"/>
      </w:pPr>
      <w:r>
        <w:rPr/>
        <w:pict>
          <v:group style="position:absolute;margin-left:97.915123pt;margin-top:-50.915909pt;width:128.5500pt;height:132.25pt;mso-position-horizontal-relative:page;mso-position-vertical-relative:paragraph;z-index:251671552" coordorigin="1958,-1018" coordsize="2571,2645">
            <v:shape style="position:absolute;left:1958;top:-1019;width:2571;height:2645" type="#_x0000_t75" stroked="false">
              <v:imagedata r:id="rId10" o:title=""/>
            </v:shape>
            <v:shape style="position:absolute;left:1958;top:-1019;width:2571;height:2645" type="#_x0000_t202" filled="false" stroked="false">
              <v:textbox inset="0,0,0,0">
                <w:txbxContent>
                  <w:p>
                    <w:pPr>
                      <w:spacing w:line="240" w:lineRule="auto" w:before="0"/>
                      <w:rPr>
                        <w:sz w:val="32"/>
                      </w:rPr>
                    </w:pPr>
                  </w:p>
                  <w:p>
                    <w:pPr>
                      <w:spacing w:line="240" w:lineRule="auto" w:before="0"/>
                      <w:rPr>
                        <w:sz w:val="32"/>
                      </w:rPr>
                    </w:pPr>
                  </w:p>
                  <w:p>
                    <w:pPr>
                      <w:spacing w:before="254"/>
                      <w:ind w:left="391" w:right="0" w:firstLine="0"/>
                      <w:jc w:val="left"/>
                      <w:rPr>
                        <w:sz w:val="32"/>
                      </w:rPr>
                    </w:pPr>
                    <w:r>
                      <w:rPr>
                        <w:sz w:val="32"/>
                      </w:rPr>
                      <w:t>吉林省财政厅</w:t>
                    </w:r>
                  </w:p>
                </w:txbxContent>
              </v:textbox>
              <w10:wrap type="none"/>
            </v:shape>
            <w10:wrap type="none"/>
          </v:group>
        </w:pict>
      </w:r>
      <w:r>
        <w:rPr/>
        <w:drawing>
          <wp:anchor distT="0" distB="0" distL="0" distR="0" allowOverlap="1" layoutInCell="1" locked="0" behindDoc="1" simplePos="0" relativeHeight="251472896">
            <wp:simplePos x="0" y="0"/>
            <wp:positionH relativeFrom="page">
              <wp:posOffset>3800050</wp:posOffset>
            </wp:positionH>
            <wp:positionV relativeFrom="paragraph">
              <wp:posOffset>-704543</wp:posOffset>
            </wp:positionV>
            <wp:extent cx="1632276" cy="1635240"/>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11" cstate="print"/>
                    <a:stretch>
                      <a:fillRect/>
                    </a:stretch>
                  </pic:blipFill>
                  <pic:spPr>
                    <a:xfrm>
                      <a:off x="0" y="0"/>
                      <a:ext cx="1632276" cy="1635240"/>
                    </a:xfrm>
                    <a:prstGeom prst="rect">
                      <a:avLst/>
                    </a:prstGeom>
                  </pic:spPr>
                </pic:pic>
              </a:graphicData>
            </a:graphic>
          </wp:anchor>
        </w:drawing>
      </w:r>
      <w:r>
        <w:rPr/>
        <w:t>吉林省人力资源和社会保障厅</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r>
        <w:rPr/>
        <w:pict>
          <v:group style="position:absolute;margin-left:102.343491pt;margin-top:21.368088pt;width:128.1pt;height:127.25pt;mso-position-horizontal-relative:page;mso-position-vertical-relative:paragraph;z-index:-251654144;mso-wrap-distance-left:0;mso-wrap-distance-right:0" coordorigin="2047,427" coordsize="2562,2545">
            <v:shape style="position:absolute;left:2046;top:427;width:2562;height:2545" type="#_x0000_t75" stroked="false">
              <v:imagedata r:id="rId12" o:title=""/>
            </v:shape>
            <v:shape style="position:absolute;left:2046;top:427;width:2562;height:2545" type="#_x0000_t202" filled="false" stroked="false">
              <v:textbox inset="0,0,0,0">
                <w:txbxContent>
                  <w:p>
                    <w:pPr>
                      <w:spacing w:line="240" w:lineRule="auto" w:before="0"/>
                      <w:rPr>
                        <w:sz w:val="32"/>
                      </w:rPr>
                    </w:pPr>
                  </w:p>
                  <w:p>
                    <w:pPr>
                      <w:spacing w:line="240" w:lineRule="auto" w:before="0"/>
                      <w:rPr>
                        <w:sz w:val="32"/>
                      </w:rPr>
                    </w:pPr>
                  </w:p>
                  <w:p>
                    <w:pPr>
                      <w:spacing w:before="207"/>
                      <w:ind w:left="-9" w:right="0" w:firstLine="0"/>
                      <w:jc w:val="left"/>
                      <w:rPr>
                        <w:sz w:val="32"/>
                      </w:rPr>
                    </w:pPr>
                    <w:r>
                      <w:rPr>
                        <w:sz w:val="32"/>
                      </w:rPr>
                      <w:t>吉林省农业农村厅</w:t>
                    </w:r>
                  </w:p>
                </w:txbxContent>
              </v:textbox>
              <w10:wrap type="none"/>
            </v:shape>
            <w10:wrap type="topAndBottom"/>
          </v:group>
        </w:pict>
      </w:r>
      <w:r>
        <w:rPr/>
        <w:pict>
          <v:group style="position:absolute;margin-left:296.17868pt;margin-top:17.508932pt;width:156.450pt;height:131.25pt;mso-position-horizontal-relative:page;mso-position-vertical-relative:paragraph;z-index:-251651072;mso-wrap-distance-left:0;mso-wrap-distance-right:0" coordorigin="5924,350" coordsize="3129,2625">
            <v:shape style="position:absolute;left:6135;top:350;width:2565;height:2549" type="#_x0000_t75" stroked="false">
              <v:imagedata r:id="rId13" o:title=""/>
            </v:shape>
            <v:shape style="position:absolute;left:5923;top:1499;width:3129;height:321" type="#_x0000_t202" filled="false" stroked="false">
              <v:textbox inset="0,0,0,0">
                <w:txbxContent>
                  <w:p>
                    <w:pPr>
                      <w:spacing w:line="320" w:lineRule="exact" w:before="0"/>
                      <w:ind w:left="0" w:right="0" w:firstLine="0"/>
                      <w:jc w:val="left"/>
                      <w:rPr>
                        <w:sz w:val="32"/>
                      </w:rPr>
                    </w:pPr>
                    <w:r>
                      <w:rPr>
                        <w:spacing w:val="-10"/>
                        <w:sz w:val="32"/>
                      </w:rPr>
                      <w:t>吉林省退役军人事务厅</w:t>
                    </w:r>
                  </w:p>
                </w:txbxContent>
              </v:textbox>
              <w10:wrap type="none"/>
            </v:shape>
            <v:shape style="position:absolute;left:6312;top:2654;width:2440;height:321" type="#_x0000_t202" filled="false" stroked="false">
              <v:textbox inset="0,0,0,0">
                <w:txbxContent>
                  <w:p>
                    <w:pPr>
                      <w:spacing w:line="320" w:lineRule="exact" w:before="0"/>
                      <w:ind w:left="0" w:right="0" w:firstLine="0"/>
                      <w:jc w:val="left"/>
                      <w:rPr>
                        <w:sz w:val="32"/>
                      </w:rPr>
                    </w:pPr>
                    <w:r>
                      <w:rPr>
                        <w:spacing w:val="14"/>
                        <w:sz w:val="32"/>
                      </w:rPr>
                      <w:t>2019</w:t>
                    </w:r>
                    <w:r>
                      <w:rPr>
                        <w:spacing w:val="-46"/>
                        <w:sz w:val="32"/>
                      </w:rPr>
                      <w:t>年 </w:t>
                    </w:r>
                    <w:r>
                      <w:rPr>
                        <w:spacing w:val="72"/>
                        <w:sz w:val="32"/>
                      </w:rPr>
                      <w:t>5</w:t>
                    </w:r>
                    <w:r>
                      <w:rPr>
                        <w:spacing w:val="-45"/>
                        <w:sz w:val="32"/>
                      </w:rPr>
                      <w:t>月 </w:t>
                    </w:r>
                    <w:r>
                      <w:rPr>
                        <w:spacing w:val="-3"/>
                        <w:sz w:val="32"/>
                      </w:rPr>
                      <w:t>23</w:t>
                    </w:r>
                    <w:r>
                      <w:rPr>
                        <w:spacing w:val="-44"/>
                        <w:sz w:val="32"/>
                      </w:rPr>
                      <w:t> 日</w:t>
                    </w:r>
                  </w:p>
                </w:txbxContent>
              </v:textbox>
              <w10:wrap type="none"/>
            </v:shape>
            <w10:wrap type="topAndBottom"/>
          </v:group>
        </w:pict>
      </w:r>
    </w:p>
    <w:p>
      <w:pPr>
        <w:pStyle w:val="BodyText"/>
        <w:rPr>
          <w:sz w:val="20"/>
        </w:rPr>
      </w:pPr>
    </w:p>
    <w:p>
      <w:pPr>
        <w:pStyle w:val="BodyText"/>
        <w:rPr>
          <w:sz w:val="20"/>
        </w:rPr>
      </w:pPr>
    </w:p>
    <w:p>
      <w:pPr>
        <w:pStyle w:val="BodyText"/>
        <w:spacing w:before="10"/>
        <w:rPr>
          <w:sz w:val="19"/>
        </w:rPr>
      </w:pPr>
    </w:p>
    <w:p>
      <w:pPr>
        <w:pStyle w:val="Heading1"/>
        <w:spacing w:line="240" w:lineRule="auto" w:before="39"/>
        <w:ind w:left="1547"/>
      </w:pPr>
      <w:r>
        <w:rPr>
          <w:w w:val="50"/>
        </w:rPr>
        <w:t> </w:t>
      </w:r>
    </w:p>
    <w:p>
      <w:pPr>
        <w:spacing w:line="645" w:lineRule="exact" w:before="313"/>
        <w:ind w:left="1547" w:right="0" w:firstLine="0"/>
        <w:jc w:val="left"/>
        <w:rPr>
          <w:rFonts w:ascii="Microsoft JhengHei"/>
          <w:b/>
          <w:sz w:val="44"/>
        </w:rPr>
      </w:pPr>
      <w:r>
        <w:rPr>
          <w:rFonts w:ascii="Microsoft JhengHei"/>
          <w:b/>
          <w:w w:val="100"/>
          <w:sz w:val="44"/>
        </w:rPr>
        <w:t> </w:t>
      </w:r>
    </w:p>
    <w:p>
      <w:pPr>
        <w:tabs>
          <w:tab w:pos="10221" w:val="left" w:leader="none"/>
        </w:tabs>
        <w:spacing w:line="632" w:lineRule="exact" w:before="0"/>
        <w:ind w:left="1547" w:right="0" w:firstLine="0"/>
        <w:jc w:val="left"/>
        <w:rPr>
          <w:rFonts w:ascii="Microsoft JhengHei"/>
          <w:b/>
          <w:sz w:val="44"/>
        </w:rPr>
      </w:pPr>
      <w:r>
        <w:rPr>
          <w:rFonts w:ascii="Microsoft JhengHei"/>
          <w:b/>
          <w:w w:val="100"/>
          <w:sz w:val="44"/>
          <w:u w:val="single"/>
        </w:rPr>
        <w:t> </w:t>
      </w:r>
      <w:r>
        <w:rPr>
          <w:rFonts w:ascii="Microsoft JhengHei"/>
          <w:b/>
          <w:sz w:val="44"/>
          <w:u w:val="single"/>
        </w:rPr>
        <w:tab/>
      </w:r>
    </w:p>
    <w:p>
      <w:pPr>
        <w:tabs>
          <w:tab w:pos="5419" w:val="left" w:leader="none"/>
        </w:tabs>
        <w:spacing w:line="346" w:lineRule="exact" w:before="0"/>
        <w:ind w:left="0" w:right="155" w:firstLine="0"/>
        <w:jc w:val="center"/>
        <w:rPr>
          <w:sz w:val="28"/>
        </w:rPr>
      </w:pPr>
      <w:r>
        <w:rPr/>
        <w:pict>
          <v:line style="position:absolute;mso-position-horizontal-relative:page;mso-position-vertical-relative:paragraph;z-index:-251650048;mso-wrap-distance-left:0;mso-wrap-distance-right:0" from="77.879997pt,24.231892pt" to="513.059997pt,24.231892pt" stroked="true" strokeweight=".96002pt" strokecolor="#000000">
            <v:stroke dashstyle="solid"/>
            <w10:wrap type="topAndBottom"/>
          </v:line>
        </w:pict>
      </w:r>
      <w:r>
        <w:rPr>
          <w:spacing w:val="-9"/>
          <w:sz w:val="28"/>
        </w:rPr>
        <w:t>吉林省教育厅办公</w:t>
      </w:r>
      <w:r>
        <w:rPr>
          <w:sz w:val="28"/>
        </w:rPr>
        <w:t>室</w:t>
        <w:tab/>
      </w:r>
      <w:r>
        <w:rPr>
          <w:spacing w:val="11"/>
          <w:sz w:val="28"/>
        </w:rPr>
        <w:t>2019</w:t>
      </w:r>
      <w:r>
        <w:rPr>
          <w:sz w:val="28"/>
        </w:rPr>
        <w:t>年</w:t>
      </w:r>
      <w:r>
        <w:rPr>
          <w:spacing w:val="-81"/>
          <w:sz w:val="28"/>
        </w:rPr>
        <w:t> </w:t>
      </w:r>
      <w:r>
        <w:rPr>
          <w:spacing w:val="63"/>
          <w:sz w:val="28"/>
        </w:rPr>
        <w:t>5</w:t>
      </w:r>
      <w:r>
        <w:rPr>
          <w:sz w:val="28"/>
        </w:rPr>
        <w:t>月</w:t>
      </w:r>
      <w:r>
        <w:rPr>
          <w:spacing w:val="-80"/>
          <w:sz w:val="28"/>
        </w:rPr>
        <w:t> </w:t>
      </w:r>
      <w:r>
        <w:rPr>
          <w:spacing w:val="-3"/>
          <w:sz w:val="28"/>
        </w:rPr>
        <w:t>23</w:t>
      </w:r>
      <w:r>
        <w:rPr>
          <w:spacing w:val="-77"/>
          <w:sz w:val="28"/>
        </w:rPr>
        <w:t> </w:t>
      </w:r>
      <w:r>
        <w:rPr>
          <w:spacing w:val="-9"/>
          <w:sz w:val="28"/>
        </w:rPr>
        <w:t>日印</w:t>
      </w:r>
      <w:r>
        <w:rPr>
          <w:sz w:val="28"/>
        </w:rPr>
        <w:t>发</w:t>
      </w:r>
    </w:p>
    <w:p>
      <w:pPr>
        <w:spacing w:after="0" w:line="346" w:lineRule="exact"/>
        <w:jc w:val="center"/>
        <w:rPr>
          <w:sz w:val="28"/>
        </w:rPr>
        <w:sectPr>
          <w:pgSz w:w="11910" w:h="16840"/>
          <w:pgMar w:header="0" w:footer="1454" w:top="1600" w:bottom="1640" w:left="40" w:right="0"/>
        </w:sectPr>
      </w:pPr>
    </w:p>
    <w:p>
      <w:pPr>
        <w:pStyle w:val="BodyText"/>
        <w:rPr>
          <w:sz w:val="20"/>
        </w:rPr>
      </w:pPr>
    </w:p>
    <w:p>
      <w:pPr>
        <w:pStyle w:val="BodyText"/>
        <w:spacing w:before="7"/>
        <w:rPr>
          <w:sz w:val="25"/>
        </w:rPr>
      </w:pPr>
    </w:p>
    <w:p>
      <w:pPr>
        <w:pStyle w:val="Heading1"/>
        <w:spacing w:line="240" w:lineRule="auto" w:before="39"/>
        <w:ind w:left="2206"/>
      </w:pPr>
      <w:r>
        <w:rPr/>
        <w:t>关于做好高职扩招专项工作的实施方案 </w:t>
      </w:r>
    </w:p>
    <w:p>
      <w:pPr>
        <w:pStyle w:val="BodyText"/>
        <w:spacing w:before="11"/>
        <w:rPr>
          <w:sz w:val="45"/>
        </w:rPr>
      </w:pPr>
    </w:p>
    <w:p>
      <w:pPr>
        <w:pStyle w:val="BodyText"/>
        <w:spacing w:line="321" w:lineRule="auto" w:before="1"/>
        <w:ind w:left="1547" w:right="1663" w:firstLine="621"/>
        <w:jc w:val="both"/>
      </w:pPr>
      <w:r>
        <w:rPr>
          <w:spacing w:val="-15"/>
        </w:rPr>
        <w:t>为全面贯彻《国家职业教育改革实施方案》，落实今年政府</w:t>
      </w:r>
      <w:r>
        <w:rPr>
          <w:spacing w:val="-19"/>
        </w:rPr>
        <w:t>工作报告提出的“全国高职院校扩招 </w:t>
      </w:r>
      <w:r>
        <w:rPr>
          <w:spacing w:val="-4"/>
        </w:rPr>
        <w:t>100</w:t>
      </w:r>
      <w:r>
        <w:rPr>
          <w:spacing w:val="-22"/>
        </w:rPr>
        <w:t> 万人”的战略部署，依</w:t>
      </w:r>
      <w:r>
        <w:rPr>
          <w:spacing w:val="-14"/>
        </w:rPr>
        <w:t>据教育部等六部门印发的《高职扩招专项工作实施方案》，结合</w:t>
      </w:r>
      <w:r>
        <w:rPr>
          <w:spacing w:val="-10"/>
        </w:rPr>
        <w:t>我省实际，制定本实施方案。</w:t>
      </w:r>
    </w:p>
    <w:p>
      <w:pPr>
        <w:pStyle w:val="BodyText"/>
        <w:spacing w:before="2"/>
        <w:ind w:left="2169"/>
        <w:rPr>
          <w:rFonts w:ascii="黑体" w:eastAsia="黑体" w:hint="eastAsia"/>
        </w:rPr>
      </w:pPr>
      <w:r>
        <w:rPr>
          <w:rFonts w:ascii="黑体" w:eastAsia="黑体" w:hint="eastAsia"/>
        </w:rPr>
        <w:t>一、任务与措施</w:t>
      </w:r>
    </w:p>
    <w:p>
      <w:pPr>
        <w:pStyle w:val="BodyText"/>
        <w:spacing w:line="321" w:lineRule="auto" w:before="139"/>
        <w:ind w:left="1547" w:right="1515" w:firstLine="621"/>
      </w:pPr>
      <w:r>
        <w:rPr>
          <w:spacing w:val="-10"/>
        </w:rPr>
        <w:t>（一</w:t>
      </w:r>
      <w:r>
        <w:rPr>
          <w:spacing w:val="-30"/>
        </w:rPr>
        <w:t>）</w:t>
      </w:r>
      <w:r>
        <w:rPr>
          <w:spacing w:val="-15"/>
        </w:rPr>
        <w:t>明确扩招重点，科学分配扩招计划。高职扩招重点布</w:t>
      </w:r>
      <w:r>
        <w:rPr/>
        <w:t>局在我省国家示范骨干院校和省现代化示范院校等优质高职院</w:t>
      </w:r>
      <w:r>
        <w:rPr>
          <w:spacing w:val="-10"/>
        </w:rPr>
        <w:t>校，区域经济建设急需、社会民生领域紧缺和就业率高的专业， 以及贫困地区特别是连片特困地区；主要面向普通高中毕业生、</w:t>
      </w:r>
      <w:r>
        <w:rPr>
          <w:spacing w:val="-16"/>
        </w:rPr>
        <w:t>中职</w:t>
      </w:r>
      <w:r>
        <w:rPr>
          <w:spacing w:val="-10"/>
        </w:rPr>
        <w:t>（</w:t>
      </w:r>
      <w:r>
        <w:rPr>
          <w:spacing w:val="-14"/>
        </w:rPr>
        <w:t>含中专、技工学校、职业高中</w:t>
      </w:r>
      <w:r>
        <w:rPr>
          <w:spacing w:val="-21"/>
        </w:rPr>
        <w:t>）</w:t>
      </w:r>
      <w:r>
        <w:rPr>
          <w:spacing w:val="-13"/>
        </w:rPr>
        <w:t>毕业生、退役军人、下岗</w:t>
      </w:r>
      <w:r>
        <w:rPr>
          <w:spacing w:val="-17"/>
        </w:rPr>
        <w:t>失业人员、农民工和新型职业农民等报考高职院校的群体。对退</w:t>
      </w:r>
      <w:r>
        <w:rPr>
          <w:spacing w:val="-18"/>
        </w:rPr>
        <w:t>役军人、下岗失业人员、农民工、新型职业农民等群体单列招生计划。高职院校要加强与现有独立设置的特殊教育机构合作，让</w:t>
      </w:r>
      <w:r>
        <w:rPr>
          <w:spacing w:val="-21"/>
        </w:rPr>
        <w:t>更多残疾人接受适合的高等职业教育。在学前教育、护理、家政、</w:t>
      </w:r>
      <w:r>
        <w:rPr>
          <w:spacing w:val="-19"/>
        </w:rPr>
        <w:t>养老、健康服务、现代服务业等领域，扩大中高职贯通培养招生规模。统筹普通教育、职业教育和继续教育，为各类群体提供灵活多样升学和培养模式。</w:t>
      </w:r>
    </w:p>
    <w:p>
      <w:pPr>
        <w:pStyle w:val="BodyText"/>
        <w:spacing w:line="321" w:lineRule="auto" w:before="7"/>
        <w:ind w:left="1547" w:right="1599" w:firstLine="621"/>
        <w:jc w:val="both"/>
      </w:pPr>
      <w:r>
        <w:rPr>
          <w:spacing w:val="-10"/>
        </w:rPr>
        <w:t>（二</w:t>
      </w:r>
      <w:r>
        <w:rPr>
          <w:spacing w:val="-31"/>
        </w:rPr>
        <w:t>）</w:t>
      </w:r>
      <w:r>
        <w:rPr>
          <w:spacing w:val="-13"/>
        </w:rPr>
        <w:t>实行灵活多样教育模式，提高人才培养质量。高职院校要贯彻实施职业教育国家教学标准体系，针对应届与非应届、</w:t>
      </w:r>
      <w:r>
        <w:rPr>
          <w:spacing w:val="-17"/>
        </w:rPr>
        <w:t>就业与未就业、不同年龄段等生源多样化特点，分类编制专业人才培养方案，采取弹性学制和灵活多元教学模式。对退役军人、</w:t>
      </w:r>
    </w:p>
    <w:p>
      <w:pPr>
        <w:spacing w:after="0" w:line="321" w:lineRule="auto"/>
        <w:jc w:val="both"/>
        <w:sectPr>
          <w:pgSz w:w="11910" w:h="16840"/>
          <w:pgMar w:header="0" w:footer="1454" w:top="1600" w:bottom="1640" w:left="40" w:right="0"/>
        </w:sectPr>
      </w:pPr>
    </w:p>
    <w:p>
      <w:pPr>
        <w:pStyle w:val="BodyText"/>
        <w:rPr>
          <w:sz w:val="20"/>
        </w:rPr>
      </w:pPr>
    </w:p>
    <w:p>
      <w:pPr>
        <w:pStyle w:val="BodyText"/>
        <w:spacing w:before="11"/>
        <w:rPr>
          <w:sz w:val="23"/>
        </w:rPr>
      </w:pPr>
    </w:p>
    <w:p>
      <w:pPr>
        <w:pStyle w:val="BodyText"/>
        <w:spacing w:line="321" w:lineRule="auto" w:before="56"/>
        <w:ind w:left="1547" w:right="1665"/>
        <w:jc w:val="both"/>
      </w:pPr>
      <w:r>
        <w:rPr>
          <w:spacing w:val="-17"/>
        </w:rPr>
        <w:t>下岗失业人员、农民工和新型职业农民等群体可单独编班，进行</w:t>
      </w:r>
      <w:r>
        <w:rPr>
          <w:spacing w:val="-18"/>
        </w:rPr>
        <w:t>单独授课。加强教学常规管理，创新实习管理方式，严格教学组</w:t>
      </w:r>
      <w:r>
        <w:rPr>
          <w:spacing w:val="-1"/>
        </w:rPr>
        <w:t>织和考核评价。推进学历证书和职业技能等级证书互通衔接探</w:t>
      </w:r>
      <w:r>
        <w:rPr>
          <w:spacing w:val="-18"/>
        </w:rPr>
        <w:t>索，有序开展学习成果的认定、积累和转换，积极引导新增生源</w:t>
      </w:r>
      <w:r>
        <w:rPr>
          <w:spacing w:val="-35"/>
        </w:rPr>
        <w:t>参与 </w:t>
      </w:r>
      <w:r>
        <w:rPr>
          <w:spacing w:val="-4"/>
        </w:rPr>
        <w:t>1+X</w:t>
      </w:r>
      <w:r>
        <w:rPr>
          <w:spacing w:val="-23"/>
        </w:rPr>
        <w:t> 证书制度试点。在国家重大战略和区域支柱产业等相关</w:t>
      </w:r>
      <w:r>
        <w:rPr>
          <w:spacing w:val="-20"/>
        </w:rPr>
        <w:t>专业，全面推广政府引导、行业参与、社会支持、企业和职业学校双主体育人的现代学徒制。</w:t>
      </w:r>
    </w:p>
    <w:p>
      <w:pPr>
        <w:pStyle w:val="BodyText"/>
        <w:spacing w:line="321" w:lineRule="auto" w:before="5"/>
        <w:ind w:left="1547" w:right="1509" w:firstLine="621"/>
      </w:pPr>
      <w:r>
        <w:rPr>
          <w:spacing w:val="-10"/>
        </w:rPr>
        <w:t>（三</w:t>
      </w:r>
      <w:r>
        <w:rPr>
          <w:spacing w:val="-30"/>
        </w:rPr>
        <w:t>）</w:t>
      </w:r>
      <w:r>
        <w:rPr>
          <w:spacing w:val="-13"/>
        </w:rPr>
        <w:t>落实立德树人根本任务，推动教师教材教法改革。坚</w:t>
      </w:r>
      <w:r>
        <w:rPr>
          <w:spacing w:val="-15"/>
        </w:rPr>
        <w:t>持全员全过程全方位育人，注重坚守专业精神、职业精神和工匠</w:t>
      </w:r>
      <w:r>
        <w:rPr>
          <w:spacing w:val="-18"/>
        </w:rPr>
        <w:t>精神，培养德智体美劳全面发展的社会主义建设者和接班人。加</w:t>
      </w:r>
      <w:r>
        <w:rPr>
          <w:spacing w:val="-14"/>
        </w:rPr>
        <w:t>强高职院校教师队伍建设，通过院校间资源整合、校企合作、专</w:t>
      </w:r>
      <w:r>
        <w:rPr>
          <w:spacing w:val="-18"/>
        </w:rPr>
        <w:t>项培训、专项招聘等多种方式，加快补充急需的专业教师。开发</w:t>
      </w:r>
      <w:r>
        <w:rPr>
          <w:spacing w:val="-21"/>
        </w:rPr>
        <w:t>适用于不同生源类型的新型活页式、工作手册式等教材，充分利</w:t>
      </w:r>
      <w:r>
        <w:rPr>
          <w:spacing w:val="-22"/>
        </w:rPr>
        <w:t>用信息化技术，整合专业教学资源，加快优质资源共建共享。针</w:t>
      </w:r>
      <w:r>
        <w:rPr>
          <w:spacing w:val="-26"/>
        </w:rPr>
        <w:t>对不同生源分类施教、因材施教，普及推广项目教学、案例教学、</w:t>
      </w:r>
      <w:r>
        <w:rPr>
          <w:spacing w:val="-18"/>
        </w:rPr>
        <w:t>情景教学、导向教学，广泛应用线上线下混合教学，促进自主泛在个性化学习。</w:t>
      </w:r>
    </w:p>
    <w:p>
      <w:pPr>
        <w:pStyle w:val="BodyText"/>
        <w:spacing w:line="321" w:lineRule="auto" w:before="5"/>
        <w:ind w:left="1547" w:right="1673" w:firstLine="621"/>
        <w:jc w:val="both"/>
      </w:pPr>
      <w:r>
        <w:rPr>
          <w:spacing w:val="-10"/>
        </w:rPr>
        <w:t>（四</w:t>
      </w:r>
      <w:r>
        <w:rPr>
          <w:spacing w:val="-30"/>
        </w:rPr>
        <w:t>）</w:t>
      </w:r>
      <w:r>
        <w:rPr>
          <w:spacing w:val="-14"/>
        </w:rPr>
        <w:t>加强就业指导，提供有针对性的就业服务。做好全省</w:t>
      </w:r>
      <w:r>
        <w:rPr>
          <w:spacing w:val="-19"/>
        </w:rPr>
        <w:t>高职扩招后就业创业教育规划，重点加强对新增生源的指导和服务。高职院校要结合就业形势和生源类型特点，强化职业生涯发</w:t>
      </w:r>
      <w:r>
        <w:rPr>
          <w:spacing w:val="-20"/>
        </w:rPr>
        <w:t>展教育，帮助学生合理调整就业期望，找准职业定位。人力资源</w:t>
      </w:r>
      <w:r>
        <w:rPr>
          <w:spacing w:val="-21"/>
        </w:rPr>
        <w:t>社会保障、农业农村、退役军人事务等部门按照职责分别对退役</w:t>
      </w:r>
      <w:r>
        <w:rPr>
          <w:spacing w:val="-20"/>
        </w:rPr>
        <w:t>军人、下岗失业人员、农民工和新型职业农民提供有针对性的就</w:t>
      </w:r>
    </w:p>
    <w:p>
      <w:pPr>
        <w:spacing w:after="0" w:line="321" w:lineRule="auto"/>
        <w:jc w:val="both"/>
        <w:sectPr>
          <w:pgSz w:w="11910" w:h="16840"/>
          <w:pgMar w:header="0" w:footer="1454" w:top="1600" w:bottom="1640" w:left="40" w:right="0"/>
        </w:sectPr>
      </w:pPr>
    </w:p>
    <w:p>
      <w:pPr>
        <w:pStyle w:val="BodyText"/>
        <w:rPr>
          <w:sz w:val="20"/>
        </w:rPr>
      </w:pPr>
    </w:p>
    <w:p>
      <w:pPr>
        <w:pStyle w:val="BodyText"/>
        <w:spacing w:before="11"/>
        <w:rPr>
          <w:sz w:val="23"/>
        </w:rPr>
      </w:pPr>
    </w:p>
    <w:p>
      <w:pPr>
        <w:pStyle w:val="BodyText"/>
        <w:spacing w:line="321" w:lineRule="auto" w:before="56"/>
        <w:ind w:left="1547" w:right="1673"/>
        <w:jc w:val="both"/>
      </w:pPr>
      <w:r>
        <w:rPr>
          <w:spacing w:val="-17"/>
        </w:rPr>
        <w:t>业服务。推动职业院校毕业生在落户、就业、参加机关事业单位</w:t>
      </w:r>
      <w:r>
        <w:rPr>
          <w:spacing w:val="-19"/>
        </w:rPr>
        <w:t>招聘、职称评审、职级晋升等方面与普通高校毕业生享受同等待遇。</w:t>
      </w:r>
    </w:p>
    <w:p>
      <w:pPr>
        <w:pStyle w:val="BodyText"/>
        <w:spacing w:line="321" w:lineRule="auto" w:before="2"/>
        <w:ind w:left="1547" w:right="1512" w:firstLine="621"/>
      </w:pPr>
      <w:r>
        <w:rPr>
          <w:spacing w:val="-10"/>
        </w:rPr>
        <w:t>（五</w:t>
      </w:r>
      <w:r>
        <w:rPr>
          <w:spacing w:val="-54"/>
        </w:rPr>
        <w:t>）</w:t>
      </w:r>
      <w:r>
        <w:rPr>
          <w:spacing w:val="-18"/>
        </w:rPr>
        <w:t>加大财政投入，落实国家相关政策。统筹中央和省级资金，加大对高职院校扩招的支持力度，年度新增加的经费， </w:t>
      </w:r>
      <w:r>
        <w:rPr>
          <w:spacing w:val="-14"/>
        </w:rPr>
        <w:t>重点向扩招院校倾斜，进一步落实和完善生均拨款制度、奖助</w:t>
      </w:r>
      <w:r>
        <w:rPr>
          <w:spacing w:val="-12"/>
        </w:rPr>
        <w:t>学金提标扩面政策等，加强公办高职院校办学条件薄弱环节的</w:t>
      </w:r>
      <w:r>
        <w:rPr>
          <w:spacing w:val="12"/>
        </w:rPr>
        <w:t>改造力度，积极探索和推行政府购买高职教育服务的保障模</w:t>
      </w:r>
      <w:r>
        <w:rPr>
          <w:spacing w:val="-5"/>
        </w:rPr>
        <w:t>式。完善和落实相关奖助学金、学费减免等资助政策，退役军</w:t>
      </w:r>
      <w:r>
        <w:rPr>
          <w:spacing w:val="-6"/>
        </w:rPr>
        <w:t>人学费资助按高职院校实际收取学费金额执行，每生每年最高</w:t>
      </w:r>
      <w:r>
        <w:rPr>
          <w:spacing w:val="-7"/>
        </w:rPr>
        <w:t>不超过 </w:t>
      </w:r>
      <w:r>
        <w:rPr/>
        <w:t>8000</w:t>
      </w:r>
      <w:r>
        <w:rPr>
          <w:spacing w:val="-3"/>
        </w:rPr>
        <w:t> 元，超出部分自行负担；按规定给予退役军人学</w:t>
      </w:r>
      <w:r>
        <w:rPr>
          <w:spacing w:val="-15"/>
        </w:rPr>
        <w:t>生助学金资助，其他奖助政策按现行规定执行。下岗失业人员、</w:t>
      </w:r>
      <w:r>
        <w:rPr>
          <w:spacing w:val="-9"/>
        </w:rPr>
        <w:t>农民工、新型职业农民考入高职院校，按照现行规定享受资助政策。</w:t>
      </w:r>
    </w:p>
    <w:p>
      <w:pPr>
        <w:pStyle w:val="BodyText"/>
        <w:spacing w:before="7"/>
        <w:ind w:left="2169"/>
        <w:rPr>
          <w:rFonts w:ascii="黑体" w:eastAsia="黑体" w:hint="eastAsia"/>
        </w:rPr>
      </w:pPr>
      <w:r>
        <w:rPr>
          <w:rFonts w:ascii="黑体" w:eastAsia="黑体" w:hint="eastAsia"/>
        </w:rPr>
        <w:t>二、考试与录取</w:t>
      </w:r>
    </w:p>
    <w:p>
      <w:pPr>
        <w:pStyle w:val="BodyText"/>
        <w:spacing w:line="321" w:lineRule="auto" w:before="139"/>
        <w:ind w:left="1547" w:right="1663" w:firstLine="621"/>
        <w:jc w:val="both"/>
      </w:pPr>
      <w:r>
        <w:rPr>
          <w:spacing w:val="-10"/>
        </w:rPr>
        <w:t>（一</w:t>
      </w:r>
      <w:r>
        <w:rPr>
          <w:spacing w:val="-58"/>
        </w:rPr>
        <w:t>）</w:t>
      </w:r>
      <w:r>
        <w:rPr>
          <w:spacing w:val="-19"/>
        </w:rPr>
        <w:t>实行两次补报名，做好报考资格审查工作。</w:t>
      </w:r>
      <w:r>
        <w:rPr>
          <w:spacing w:val="-5"/>
        </w:rPr>
        <w:t>2019</w:t>
      </w:r>
      <w:r>
        <w:rPr>
          <w:spacing w:val="-30"/>
        </w:rPr>
        <w:t> 年我</w:t>
      </w:r>
      <w:r>
        <w:rPr>
          <w:spacing w:val="-14"/>
        </w:rPr>
        <w:t>省组织两次高职扩招专项考试补报名。补报名工作由省教育考试</w:t>
      </w:r>
      <w:r>
        <w:rPr>
          <w:spacing w:val="-23"/>
        </w:rPr>
        <w:t>院组织实施，不收取报名费用。首次补报名在 </w:t>
      </w:r>
      <w:r>
        <w:rPr/>
        <w:t>5</w:t>
      </w:r>
      <w:r>
        <w:rPr>
          <w:spacing w:val="-59"/>
        </w:rPr>
        <w:t> 月 </w:t>
      </w:r>
      <w:r>
        <w:rPr>
          <w:spacing w:val="-3"/>
        </w:rPr>
        <w:t>25</w:t>
      </w:r>
      <w:r>
        <w:rPr>
          <w:spacing w:val="-47"/>
        </w:rPr>
        <w:t> 日至 </w:t>
      </w:r>
      <w:r>
        <w:rPr>
          <w:spacing w:val="-3"/>
        </w:rPr>
        <w:t>30</w:t>
      </w:r>
      <w:r>
        <w:rPr>
          <w:spacing w:val="-43"/>
        </w:rPr>
        <w:t> 日</w:t>
      </w:r>
      <w:r>
        <w:rPr>
          <w:spacing w:val="-16"/>
        </w:rPr>
        <w:t>进行，主要面向普通高中毕业生、中职</w:t>
      </w:r>
      <w:r>
        <w:rPr>
          <w:spacing w:val="-10"/>
        </w:rPr>
        <w:t>（</w:t>
      </w:r>
      <w:r>
        <w:rPr>
          <w:spacing w:val="-14"/>
        </w:rPr>
        <w:t>含中专、技工学校、职</w:t>
      </w:r>
      <w:r>
        <w:rPr>
          <w:spacing w:val="-10"/>
        </w:rPr>
        <w:t>业高中</w:t>
      </w:r>
      <w:r>
        <w:rPr>
          <w:spacing w:val="-27"/>
        </w:rPr>
        <w:t>）</w:t>
      </w:r>
      <w:r>
        <w:rPr>
          <w:spacing w:val="-17"/>
        </w:rPr>
        <w:t>毕业生、退役军人、下岗失业人员、农民工和新型职业</w:t>
      </w:r>
      <w:r>
        <w:rPr>
          <w:spacing w:val="-19"/>
        </w:rPr>
        <w:t>农民等报考高职院校的群体。第二次补报名在 </w:t>
      </w:r>
      <w:r>
        <w:rPr>
          <w:spacing w:val="-3"/>
        </w:rPr>
        <w:t>10</w:t>
      </w:r>
      <w:r>
        <w:rPr>
          <w:spacing w:val="-36"/>
        </w:rPr>
        <w:t> 月 </w:t>
      </w:r>
      <w:r>
        <w:rPr>
          <w:spacing w:val="-3"/>
        </w:rPr>
        <w:t>15</w:t>
      </w:r>
      <w:r>
        <w:rPr>
          <w:spacing w:val="-30"/>
        </w:rPr>
        <w:t> 日至 </w:t>
      </w:r>
      <w:r>
        <w:rPr>
          <w:spacing w:val="-3"/>
        </w:rPr>
        <w:t>20 </w:t>
      </w:r>
      <w:r>
        <w:rPr>
          <w:spacing w:val="-18"/>
        </w:rPr>
        <w:t>日进行，重点面向退役军人。考生报名条件及户籍、学籍审查按</w:t>
      </w:r>
      <w:r>
        <w:rPr>
          <w:spacing w:val="-19"/>
        </w:rPr>
        <w:t>照《关于做好 </w:t>
      </w:r>
      <w:r>
        <w:rPr>
          <w:spacing w:val="-5"/>
        </w:rPr>
        <w:t>2019</w:t>
      </w:r>
      <w:r>
        <w:rPr>
          <w:spacing w:val="-15"/>
        </w:rPr>
        <w:t> 年吉林省普通高等学校招生全国统一考试报</w:t>
      </w:r>
    </w:p>
    <w:p>
      <w:pPr>
        <w:spacing w:after="0" w:line="321" w:lineRule="auto"/>
        <w:jc w:val="both"/>
        <w:sectPr>
          <w:pgSz w:w="11910" w:h="16840"/>
          <w:pgMar w:header="0" w:footer="1454" w:top="1600" w:bottom="1640" w:left="40" w:right="0"/>
        </w:sectPr>
      </w:pPr>
    </w:p>
    <w:p>
      <w:pPr>
        <w:pStyle w:val="BodyText"/>
        <w:rPr>
          <w:sz w:val="20"/>
        </w:rPr>
      </w:pPr>
    </w:p>
    <w:p>
      <w:pPr>
        <w:pStyle w:val="BodyText"/>
        <w:spacing w:before="11"/>
        <w:rPr>
          <w:sz w:val="23"/>
        </w:rPr>
      </w:pPr>
    </w:p>
    <w:p>
      <w:pPr>
        <w:pStyle w:val="BodyText"/>
        <w:spacing w:line="321" w:lineRule="auto" w:before="56"/>
        <w:ind w:left="1547" w:right="1664"/>
        <w:jc w:val="both"/>
      </w:pPr>
      <w:r>
        <w:rPr>
          <w:spacing w:val="-37"/>
        </w:rPr>
        <w:t>名工作的通知》</w:t>
      </w:r>
      <w:r>
        <w:rPr>
          <w:spacing w:val="-10"/>
        </w:rPr>
        <w:t>（</w:t>
      </w:r>
      <w:r>
        <w:rPr>
          <w:spacing w:val="-16"/>
        </w:rPr>
        <w:t>吉招委字〔</w:t>
      </w:r>
      <w:r>
        <w:rPr>
          <w:spacing w:val="-6"/>
        </w:rPr>
        <w:t>2018</w:t>
      </w:r>
      <w:r>
        <w:rPr>
          <w:spacing w:val="-38"/>
        </w:rPr>
        <w:t>〕</w:t>
      </w:r>
      <w:r>
        <w:rPr/>
        <w:t>9</w:t>
      </w:r>
      <w:r>
        <w:rPr>
          <w:spacing w:val="-45"/>
        </w:rPr>
        <w:t> 号</w:t>
      </w:r>
      <w:r>
        <w:rPr>
          <w:spacing w:val="-39"/>
        </w:rPr>
        <w:t>）</w:t>
      </w:r>
      <w:r>
        <w:rPr>
          <w:spacing w:val="-15"/>
        </w:rPr>
        <w:t>标准执行。已经参加高</w:t>
      </w:r>
      <w:r>
        <w:rPr>
          <w:spacing w:val="-20"/>
        </w:rPr>
        <w:t>考报名的考生，不再参加高职扩招专项考试补报名。做好补报名</w:t>
      </w:r>
      <w:r>
        <w:rPr>
          <w:spacing w:val="-23"/>
        </w:rPr>
        <w:t>宣传动员和考生资格审核工作，教育部门负责高中、中职应届毕业生的宣传动员，会同公安部门审核考生户籍、学籍信息；退役</w:t>
      </w:r>
      <w:r>
        <w:rPr>
          <w:spacing w:val="-26"/>
        </w:rPr>
        <w:t>军人事务部门负责退役军人宣传动员，审核退役军人身份；人力</w:t>
      </w:r>
      <w:r>
        <w:rPr>
          <w:spacing w:val="-18"/>
        </w:rPr>
        <w:t>资源社会保障部门、农业农村部门分别负责下岗失业人员和农民</w:t>
      </w:r>
      <w:r>
        <w:rPr>
          <w:spacing w:val="-19"/>
        </w:rPr>
        <w:t>工、新型职业农民宣传动员及身份界定工作。取消高职招收中职</w:t>
      </w:r>
      <w:r>
        <w:rPr>
          <w:spacing w:val="-22"/>
        </w:rPr>
        <w:t>毕业生比例限制，允许符合高考报名条件的往届中职毕业生参加高职院校单独考试招生。</w:t>
      </w:r>
    </w:p>
    <w:p>
      <w:pPr>
        <w:pStyle w:val="BodyText"/>
        <w:spacing w:line="321" w:lineRule="auto" w:before="5"/>
        <w:ind w:left="1547" w:right="1599" w:firstLine="621"/>
        <w:jc w:val="both"/>
      </w:pPr>
      <w:r>
        <w:rPr>
          <w:spacing w:val="-10"/>
        </w:rPr>
        <w:t>（二</w:t>
      </w:r>
      <w:r>
        <w:rPr>
          <w:spacing w:val="-30"/>
        </w:rPr>
        <w:t>）</w:t>
      </w:r>
      <w:r>
        <w:rPr>
          <w:spacing w:val="-14"/>
        </w:rPr>
        <w:t>针对不同考生特点，实行灵活考试方式。我省高职扩</w:t>
      </w:r>
      <w:r>
        <w:rPr>
          <w:spacing w:val="-19"/>
        </w:rPr>
        <w:t>招专项考试，不收取考试费用，实行灵活多样的考试方式。对于</w:t>
      </w:r>
      <w:r>
        <w:rPr>
          <w:spacing w:val="-22"/>
        </w:rPr>
        <w:t>以普通高中毕业生或中职毕业生身份报考的考生，采取“文化素</w:t>
      </w:r>
      <w:r>
        <w:rPr>
          <w:spacing w:val="-6"/>
        </w:rPr>
        <w:t>质+职业技能”考试方式。对于以退役军人、下岗失业人员、农</w:t>
      </w:r>
      <w:r>
        <w:rPr>
          <w:spacing w:val="-14"/>
        </w:rPr>
        <w:t>民工和新型职业农民身份报考的考生，可免予文化素质考试，由</w:t>
      </w:r>
      <w:r>
        <w:rPr>
          <w:spacing w:val="-13"/>
        </w:rPr>
        <w:t>各招生院校组织与报考专业相关的职业技能测试。对于符合免试</w:t>
      </w:r>
      <w:r>
        <w:rPr>
          <w:spacing w:val="-18"/>
        </w:rPr>
        <w:t>条件的技能拔尖人才，由高职院校予以免试录取。对取得相关职</w:t>
      </w:r>
      <w:r>
        <w:rPr>
          <w:spacing w:val="-22"/>
        </w:rPr>
        <w:t>业技能等级证书的考生，报考相关专业可免予职业技能测试。高</w:t>
      </w:r>
      <w:r>
        <w:rPr>
          <w:spacing w:val="-10"/>
        </w:rPr>
        <w:t>职院校可通过联合考试或成绩互认等方式，减轻考生考试负担。</w:t>
      </w:r>
      <w:r>
        <w:rPr>
          <w:spacing w:val="-15"/>
        </w:rPr>
        <w:t>前期已在其他考试中被录取的考生，不再参加本次高职扩招专项</w:t>
      </w:r>
      <w:r>
        <w:rPr>
          <w:spacing w:val="-19"/>
        </w:rPr>
        <w:t>考试。文化素质考试由省教育考试院统一组织实施，考试安排在</w:t>
      </w:r>
      <w:r>
        <w:rPr>
          <w:spacing w:val="-22"/>
        </w:rPr>
        <w:t>考生所在地区标准化考点内进行，考试方式为笔试，考试时间为</w:t>
      </w:r>
      <w:r>
        <w:rPr>
          <w:spacing w:val="-4"/>
        </w:rPr>
        <w:t>2019</w:t>
      </w:r>
      <w:r>
        <w:rPr>
          <w:spacing w:val="-59"/>
        </w:rPr>
        <w:t> 年 </w:t>
      </w:r>
      <w:r>
        <w:rPr>
          <w:spacing w:val="-3"/>
        </w:rPr>
        <w:t>11</w:t>
      </w:r>
      <w:r>
        <w:rPr>
          <w:spacing w:val="-59"/>
        </w:rPr>
        <w:t> 月 </w:t>
      </w:r>
      <w:r>
        <w:rPr/>
        <w:t>9</w:t>
      </w:r>
      <w:r>
        <w:rPr>
          <w:spacing w:val="-47"/>
        </w:rPr>
        <w:t> 日至 </w:t>
      </w:r>
      <w:r>
        <w:rPr>
          <w:spacing w:val="-3"/>
        </w:rPr>
        <w:t>11</w:t>
      </w:r>
      <w:r>
        <w:rPr>
          <w:spacing w:val="-59"/>
        </w:rPr>
        <w:t> 月 </w:t>
      </w:r>
      <w:r>
        <w:rPr>
          <w:spacing w:val="-3"/>
        </w:rPr>
        <w:t>10</w:t>
      </w:r>
      <w:r>
        <w:rPr>
          <w:spacing w:val="-48"/>
        </w:rPr>
        <w:t> 日</w:t>
      </w:r>
      <w:r>
        <w:rPr>
          <w:spacing w:val="-10"/>
        </w:rPr>
        <w:t>（具体时间以《准考证》公布时</w:t>
      </w:r>
      <w:r>
        <w:rPr>
          <w:spacing w:val="-6"/>
        </w:rPr>
        <w:t>间为准</w:t>
      </w:r>
      <w:r>
        <w:rPr>
          <w:spacing w:val="-163"/>
        </w:rPr>
        <w:t>）</w:t>
      </w:r>
      <w:r>
        <w:rPr>
          <w:spacing w:val="-6"/>
        </w:rPr>
        <w:t>。考试的组织实施、监考人员的选聘培训、试题和答题</w:t>
      </w:r>
    </w:p>
    <w:p>
      <w:pPr>
        <w:spacing w:after="0" w:line="321" w:lineRule="auto"/>
        <w:jc w:val="both"/>
        <w:sectPr>
          <w:pgSz w:w="11910" w:h="16840"/>
          <w:pgMar w:header="0" w:footer="1454" w:top="1600" w:bottom="1640" w:left="40" w:right="0"/>
        </w:sectPr>
      </w:pPr>
    </w:p>
    <w:p>
      <w:pPr>
        <w:pStyle w:val="BodyText"/>
        <w:rPr>
          <w:sz w:val="20"/>
        </w:rPr>
      </w:pPr>
    </w:p>
    <w:p>
      <w:pPr>
        <w:pStyle w:val="BodyText"/>
        <w:spacing w:before="11"/>
        <w:rPr>
          <w:sz w:val="23"/>
        </w:rPr>
      </w:pPr>
    </w:p>
    <w:p>
      <w:pPr>
        <w:pStyle w:val="BodyText"/>
        <w:spacing w:line="321" w:lineRule="auto" w:before="56"/>
        <w:ind w:left="1547" w:right="1599"/>
        <w:jc w:val="both"/>
      </w:pPr>
      <w:r>
        <w:rPr>
          <w:spacing w:val="-14"/>
        </w:rPr>
        <w:t>卡的安全保密等严格按照普通高考标准进行。职业技能测试由招</w:t>
      </w:r>
      <w:r>
        <w:rPr>
          <w:spacing w:val="-19"/>
        </w:rPr>
        <w:t>生院校自主实施，具体的测试方式及内容由招生院校自定。职业技能测试时间为 </w:t>
      </w:r>
      <w:r>
        <w:rPr>
          <w:spacing w:val="-4"/>
        </w:rPr>
        <w:t>2019</w:t>
      </w:r>
      <w:r>
        <w:rPr>
          <w:spacing w:val="-58"/>
        </w:rPr>
        <w:t> 年 </w:t>
      </w:r>
      <w:r>
        <w:rPr>
          <w:spacing w:val="-3"/>
        </w:rPr>
        <w:t>11</w:t>
      </w:r>
      <w:r>
        <w:rPr>
          <w:spacing w:val="-59"/>
        </w:rPr>
        <w:t> 月 </w:t>
      </w:r>
      <w:r>
        <w:rPr>
          <w:spacing w:val="-3"/>
        </w:rPr>
        <w:t>23</w:t>
      </w:r>
      <w:r>
        <w:rPr>
          <w:spacing w:val="-47"/>
        </w:rPr>
        <w:t> 日</w:t>
      </w:r>
      <w:r>
        <w:rPr>
          <w:rFonts w:ascii="仿宋" w:hAnsi="仿宋" w:eastAsia="仿宋" w:hint="eastAsia"/>
          <w:spacing w:val="-6"/>
        </w:rPr>
        <w:t>—</w:t>
      </w:r>
      <w:r>
        <w:rPr>
          <w:spacing w:val="-6"/>
        </w:rPr>
        <w:t>24</w:t>
      </w:r>
      <w:r>
        <w:rPr>
          <w:spacing w:val="-19"/>
        </w:rPr>
        <w:t> 日，各招生院校须在省教育考试院要求的时间内完成职业技能测试。为确保考试公平、</w:t>
      </w:r>
      <w:r>
        <w:rPr>
          <w:spacing w:val="-10"/>
        </w:rPr>
        <w:t>公正，职业技能测试必须全程录像并保存三年备查。</w:t>
      </w:r>
    </w:p>
    <w:p>
      <w:pPr>
        <w:pStyle w:val="BodyText"/>
        <w:spacing w:line="321" w:lineRule="auto" w:before="3"/>
        <w:ind w:left="1547" w:right="1599" w:firstLine="621"/>
        <w:jc w:val="both"/>
      </w:pPr>
      <w:r>
        <w:rPr>
          <w:spacing w:val="-10"/>
        </w:rPr>
        <w:t>（三</w:t>
      </w:r>
      <w:r>
        <w:rPr>
          <w:spacing w:val="-31"/>
        </w:rPr>
        <w:t>）</w:t>
      </w:r>
      <w:r>
        <w:rPr>
          <w:spacing w:val="-14"/>
        </w:rPr>
        <w:t>分类确定录取标准，确保达标考生被录取。承担高职</w:t>
      </w:r>
      <w:r>
        <w:rPr>
          <w:spacing w:val="-19"/>
        </w:rPr>
        <w:t>扩招任务的院校，要针对中职毕业生考生特点和退役军人、下岗</w:t>
      </w:r>
      <w:r>
        <w:rPr>
          <w:spacing w:val="-18"/>
        </w:rPr>
        <w:t>失业人员、农民工、新型职业农民等考生特点，分类确定录取标准，确保有升学意愿且达到基本培养要求的考生能被录取。录取</w:t>
      </w:r>
      <w:r>
        <w:rPr>
          <w:spacing w:val="-15"/>
        </w:rPr>
        <w:t>工作由扩招院校组织实施，不收取录取费用。以普通高中毕业生</w:t>
      </w:r>
      <w:r>
        <w:rPr>
          <w:spacing w:val="-20"/>
        </w:rPr>
        <w:t>或中职毕业生身份报考的考生，招生院校可依据经审核公布的招</w:t>
      </w:r>
      <w:r>
        <w:rPr>
          <w:spacing w:val="-21"/>
        </w:rPr>
        <w:t>生章程，按照文化素质成绩与职业技能测试成绩所占比例核定录取成绩，择优录取。以退役军人、下岗失业人员、农民工和新型</w:t>
      </w:r>
      <w:r>
        <w:rPr/>
        <w:t>职业农民身份报考的考生，由各招生院校根据技能测试成绩录</w:t>
      </w:r>
      <w:r>
        <w:rPr>
          <w:spacing w:val="-18"/>
        </w:rPr>
        <w:t>取。对于符合免试条件的技能拔尖人才，由高职院校予以免试录</w:t>
      </w:r>
      <w:r>
        <w:rPr>
          <w:spacing w:val="-22"/>
        </w:rPr>
        <w:t>取。录取上报注册截止时间为 </w:t>
      </w:r>
      <w:r>
        <w:rPr>
          <w:spacing w:val="-3"/>
        </w:rPr>
        <w:t>12</w:t>
      </w:r>
      <w:r>
        <w:rPr>
          <w:spacing w:val="-28"/>
        </w:rPr>
        <w:t> 月中旬，录取的新生在 </w:t>
      </w:r>
      <w:r>
        <w:rPr>
          <w:spacing w:val="-4"/>
        </w:rPr>
        <w:t>2020</w:t>
      </w:r>
      <w:r>
        <w:rPr>
          <w:spacing w:val="-43"/>
        </w:rPr>
        <w:t> 年</w:t>
      </w:r>
      <w:r>
        <w:rPr>
          <w:spacing w:val="-18"/>
        </w:rPr>
        <w:t>春季入学。加强考试招生监督管理，严格执行高校考试招生政策规定。严肃考试招生工作纪律，严厉打击虚假宣传、有偿招生、</w:t>
      </w:r>
      <w:r>
        <w:rPr>
          <w:spacing w:val="-10"/>
        </w:rPr>
        <w:t>买卖生源等违规行为。</w:t>
      </w:r>
    </w:p>
    <w:p>
      <w:pPr>
        <w:pStyle w:val="BodyText"/>
        <w:spacing w:before="9"/>
        <w:ind w:left="2169"/>
        <w:rPr>
          <w:rFonts w:ascii="黑体" w:eastAsia="黑体" w:hint="eastAsia"/>
        </w:rPr>
      </w:pPr>
      <w:r>
        <w:rPr>
          <w:rFonts w:ascii="黑体" w:eastAsia="黑体" w:hint="eastAsia"/>
        </w:rPr>
        <w:t>三、组织与保障</w:t>
      </w:r>
    </w:p>
    <w:p>
      <w:pPr>
        <w:pStyle w:val="BodyText"/>
        <w:spacing w:line="321" w:lineRule="auto" w:before="140"/>
        <w:ind w:left="1547" w:right="1649" w:firstLine="621"/>
        <w:jc w:val="both"/>
      </w:pPr>
      <w:r>
        <w:rPr>
          <w:spacing w:val="-6"/>
        </w:rPr>
        <w:t>（一）</w:t>
      </w:r>
      <w:r>
        <w:rPr>
          <w:spacing w:val="-4"/>
        </w:rPr>
        <w:t>加强党的领导。切实把思想和行动统一到党中央、</w:t>
      </w:r>
      <w:r>
        <w:rPr/>
        <w:t>国务院的决策部署上来，加强党对高职扩招专项工作的领导， </w:t>
      </w:r>
      <w:r>
        <w:rPr>
          <w:spacing w:val="-15"/>
        </w:rPr>
        <w:t>充分发挥各级党委的领导核心作用，坚持党的教育方针，落实立</w:t>
      </w:r>
    </w:p>
    <w:p>
      <w:pPr>
        <w:spacing w:after="0" w:line="321" w:lineRule="auto"/>
        <w:jc w:val="both"/>
        <w:sectPr>
          <w:pgSz w:w="11910" w:h="16840"/>
          <w:pgMar w:header="0" w:footer="1454" w:top="1600" w:bottom="1640" w:left="40" w:right="0"/>
        </w:sectPr>
      </w:pPr>
    </w:p>
    <w:p>
      <w:pPr>
        <w:pStyle w:val="BodyText"/>
        <w:rPr>
          <w:sz w:val="20"/>
        </w:rPr>
      </w:pPr>
    </w:p>
    <w:p>
      <w:pPr>
        <w:pStyle w:val="BodyText"/>
        <w:spacing w:before="11"/>
        <w:rPr>
          <w:sz w:val="23"/>
        </w:rPr>
      </w:pPr>
    </w:p>
    <w:p>
      <w:pPr>
        <w:pStyle w:val="BodyText"/>
        <w:spacing w:line="321" w:lineRule="auto" w:before="56"/>
        <w:ind w:left="1547" w:right="1673"/>
      </w:pPr>
      <w:r>
        <w:rPr>
          <w:spacing w:val="-16"/>
        </w:rPr>
        <w:t>德树人根本任务，培养高素质劳动者和技术技能人才，为扩招工作提供坚强思想保证和组织保证。</w:t>
      </w:r>
    </w:p>
    <w:p>
      <w:pPr>
        <w:pStyle w:val="BodyText"/>
        <w:spacing w:line="321" w:lineRule="auto" w:before="1"/>
        <w:ind w:left="1547" w:right="1599" w:firstLine="621"/>
        <w:jc w:val="both"/>
      </w:pPr>
      <w:r>
        <w:rPr>
          <w:spacing w:val="-10"/>
        </w:rPr>
        <w:t>（二</w:t>
      </w:r>
      <w:r>
        <w:rPr>
          <w:spacing w:val="-41"/>
        </w:rPr>
        <w:t>）</w:t>
      </w:r>
      <w:r>
        <w:rPr>
          <w:spacing w:val="-15"/>
        </w:rPr>
        <w:t>加强统筹协调。发挥职业教育工作部门联席会议制度作用，建立统筹协调机制，对全省高职扩招工作做出总体规划， 明确各部门职责和任务分工，加强监督检查。省教育厅负责协调</w:t>
      </w:r>
      <w:r>
        <w:rPr>
          <w:spacing w:val="-18"/>
        </w:rPr>
        <w:t>有关部门和职业院校建立联动机制，推动高职扩招任务落实。各</w:t>
      </w:r>
      <w:r>
        <w:rPr>
          <w:spacing w:val="-10"/>
        </w:rPr>
        <w:t>有关部门按照职责分工，密切协作，形成工作合力。</w:t>
      </w:r>
    </w:p>
    <w:p>
      <w:pPr>
        <w:pStyle w:val="BodyText"/>
        <w:spacing w:line="321" w:lineRule="auto" w:before="4"/>
        <w:ind w:left="1547" w:right="1519" w:firstLine="621"/>
      </w:pPr>
      <w:r>
        <w:rPr>
          <w:spacing w:val="-10"/>
        </w:rPr>
        <w:t>（三</w:t>
      </w:r>
      <w:r>
        <w:rPr>
          <w:spacing w:val="-41"/>
        </w:rPr>
        <w:t>）</w:t>
      </w:r>
      <w:r>
        <w:rPr>
          <w:spacing w:val="-15"/>
        </w:rPr>
        <w:t>加强责任落实。省教育督导委员会办公室将对高职扩</w:t>
      </w:r>
      <w:r>
        <w:rPr>
          <w:spacing w:val="-24"/>
        </w:rPr>
        <w:t>招工作实施事中督查，并将各市</w:t>
      </w:r>
      <w:r>
        <w:rPr>
          <w:spacing w:val="-10"/>
        </w:rPr>
        <w:t>（州</w:t>
      </w:r>
      <w:r>
        <w:rPr>
          <w:spacing w:val="-65"/>
        </w:rPr>
        <w:t>）</w:t>
      </w:r>
      <w:r>
        <w:rPr>
          <w:spacing w:val="-16"/>
        </w:rPr>
        <w:t>落实情况作为年度市</w:t>
      </w:r>
      <w:r>
        <w:rPr>
          <w:spacing w:val="-10"/>
        </w:rPr>
        <w:t>（州） </w:t>
      </w:r>
      <w:r>
        <w:rPr>
          <w:spacing w:val="-12"/>
        </w:rPr>
        <w:t>级人民政府履行教育职责督导评价的重要内容。各市</w:t>
      </w:r>
      <w:r>
        <w:rPr>
          <w:spacing w:val="-10"/>
        </w:rPr>
        <w:t>（州</w:t>
      </w:r>
      <w:r>
        <w:rPr>
          <w:spacing w:val="-32"/>
        </w:rPr>
        <w:t>）</w:t>
      </w:r>
      <w:r>
        <w:rPr>
          <w:spacing w:val="-5"/>
        </w:rPr>
        <w:t>要按</w:t>
      </w:r>
      <w:r>
        <w:rPr>
          <w:spacing w:val="-16"/>
        </w:rPr>
        <w:t>照全省统一部署，组织有关方面开展好高职扩招政策解读、扩招</w:t>
      </w:r>
      <w:r>
        <w:rPr>
          <w:spacing w:val="-17"/>
        </w:rPr>
        <w:t>宣传和生源推荐工作。承担扩招任务的高职院校要发挥好责任主</w:t>
      </w:r>
      <w:r>
        <w:rPr>
          <w:spacing w:val="-19"/>
        </w:rPr>
        <w:t>体作用，组织做好扩招政策解读、扩招宣传、招生考试、教育教学、就业指导和服务等工作，保证人才培养质量。建立常态督查机制，加强资金监管，对资金使用中出现的虚报套取骗取、挤占</w:t>
      </w:r>
      <w:r>
        <w:rPr>
          <w:spacing w:val="-20"/>
        </w:rPr>
        <w:t>挪用、贪污侵吞资助资金等违法违规违纪行为，依法依规坚决严肃查处。</w:t>
      </w:r>
    </w:p>
    <w:p>
      <w:pPr>
        <w:pStyle w:val="BodyText"/>
        <w:spacing w:line="321" w:lineRule="auto" w:before="6"/>
        <w:ind w:left="1547" w:right="1607" w:firstLine="621"/>
        <w:jc w:val="both"/>
      </w:pPr>
      <w:r>
        <w:rPr>
          <w:spacing w:val="-10"/>
        </w:rPr>
        <w:t>（四）加强政策宣传。加大高职扩招相关政策的宣传力度， </w:t>
      </w:r>
      <w:r>
        <w:rPr>
          <w:spacing w:val="-16"/>
        </w:rPr>
        <w:t>及时回应社会关切，解疑释惑、凝聚共识。落实提高技术工人待</w:t>
      </w:r>
      <w:r>
        <w:rPr>
          <w:spacing w:val="-21"/>
        </w:rPr>
        <w:t>遇的相关政策，不断提高技术技能人才特别是技术工人收入水平和地位。广泛宣传大国工匠、劳动模范等典型和技术技能人才建</w:t>
      </w:r>
      <w:r>
        <w:rPr>
          <w:spacing w:val="-22"/>
        </w:rPr>
        <w:t>功立业的先进事迹，大力弘扬劳动光荣、技能宝贵、创造伟大的时代风尚。</w:t>
      </w:r>
    </w:p>
    <w:sectPr>
      <w:pgSz w:w="11910" w:h="16840"/>
      <w:pgMar w:header="0" w:footer="1454" w:top="1600" w:bottom="1640" w:left="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黑体">
    <w:altName w:val="黑体"/>
    <w:charset w:val="86"/>
    <w:family w:val="modern"/>
    <w:pitch w:val="fixed"/>
  </w:font>
  <w:font w:name="Microsoft JhengHei">
    <w:altName w:val="Microsoft JhengHei"/>
    <w:charset w:val="0"/>
    <w:family w:val="swiss"/>
    <w:pitch w:val="variable"/>
  </w:font>
  <w:font w:name="仿宋">
    <w:altName w:val="仿宋"/>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79.899994pt;margin-top:758.285645pt;width:37.050pt;height:16pt;mso-position-horizontal-relative:page;mso-position-vertical-relative:page;z-index:-251857920" type="#_x0000_t202" filled="false" stroked="false">
          <v:textbox inset="0,0,0,0">
            <w:txbxContent>
              <w:p>
                <w:pPr>
                  <w:spacing w:line="320" w:lineRule="exact" w:before="0"/>
                  <w:ind w:left="20" w:right="0" w:firstLine="0"/>
                  <w:jc w:val="left"/>
                  <w:rPr>
                    <w:sz w:val="28"/>
                  </w:rPr>
                </w:pPr>
                <w:r>
                  <w:rPr>
                    <w:sz w:val="28"/>
                  </w:rPr>
                  <w:t>- </w:t>
                </w:r>
                <w:r>
                  <w:rPr/>
                  <w:fldChar w:fldCharType="begin"/>
                </w:r>
                <w:r>
                  <w:rPr>
                    <w:sz w:val="28"/>
                  </w:rPr>
                  <w:instrText> PAGE </w:instrText>
                </w:r>
                <w:r>
                  <w:rPr/>
                  <w:fldChar w:fldCharType="separate"/>
                </w:r>
                <w:r>
                  <w:rPr/>
                  <w:t>1</w:t>
                </w:r>
                <w:r>
                  <w:rPr/>
                  <w:fldChar w:fldCharType="end"/>
                </w:r>
                <w:r>
                  <w:rPr>
                    <w:sz w:val="2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379997pt;margin-top:758.285645pt;width:37.050pt;height:16pt;mso-position-horizontal-relative:page;mso-position-vertical-relative:page;z-index:-251856896" type="#_x0000_t202" filled="false" stroked="false">
          <v:textbox inset="0,0,0,0">
            <w:txbxContent>
              <w:p>
                <w:pPr>
                  <w:spacing w:line="320" w:lineRule="exact" w:before="0"/>
                  <w:ind w:left="20" w:right="0" w:firstLine="0"/>
                  <w:jc w:val="left"/>
                  <w:rPr>
                    <w:sz w:val="28"/>
                  </w:rPr>
                </w:pPr>
                <w:r>
                  <w:rPr>
                    <w:sz w:val="28"/>
                  </w:rPr>
                  <w:t>- </w:t>
                </w:r>
                <w:r>
                  <w:rPr/>
                  <w:fldChar w:fldCharType="begin"/>
                </w:r>
                <w:r>
                  <w:rPr>
                    <w:sz w:val="28"/>
                  </w:rPr>
                  <w:instrText> PAGE </w:instrText>
                </w:r>
                <w:r>
                  <w:rPr/>
                  <w:fldChar w:fldCharType="separate"/>
                </w:r>
                <w:r>
                  <w:rPr/>
                  <w:t>2</w:t>
                </w:r>
                <w:r>
                  <w:rPr/>
                  <w:fldChar w:fldCharType="end"/>
                </w:r>
                <w:r>
                  <w:rPr>
                    <w:sz w:val="28"/>
                  </w:rPr>
                  <w:t> -</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32"/>
      <w:szCs w:val="32"/>
      <w:lang w:val="zh-CN" w:eastAsia="zh-CN" w:bidi="zh-CN"/>
    </w:rPr>
  </w:style>
  <w:style w:styleId="Heading1" w:type="paragraph">
    <w:name w:val="Heading 1"/>
    <w:basedOn w:val="Normal"/>
    <w:uiPriority w:val="1"/>
    <w:qFormat/>
    <w:pPr>
      <w:spacing w:line="560" w:lineRule="exact"/>
      <w:outlineLvl w:val="1"/>
    </w:pPr>
    <w:rPr>
      <w:rFonts w:ascii="宋体" w:hAnsi="宋体" w:eastAsia="宋体" w:cs="宋体"/>
      <w:sz w:val="44"/>
      <w:szCs w:val="44"/>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rP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&lt;4D6963726F736F667420576F7264202D20B8BDBCFE31BDCCD3FDCCFCB5C8C1F9B2BFC3C5B9D8D3DAD3A1B7A2A1B6D7F6BAC3B8DFD6B0C0A9D5D0D7A8CFEEB9A4D7F7B5C4CAB5CAA9B7BDB0B8A1B7B5C4CDA8D6AA353230A3A8CBCDC9F3B8E55F5F325F2E646F6378&gt;</dc:title>
  <dcterms:created xsi:type="dcterms:W3CDTF">2019-10-21T01:27:50Z</dcterms:created>
  <dcterms:modified xsi:type="dcterms:W3CDTF">2019-10-21T01:27:50Z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2019-05-24T00:00:00Z</vt:filetime>
  </property>
  <property fmtid="{D5CDD505-2E9C-101B-9397-08002B2CF9AE}" pid="3" name="Creator">
    <vt:lpwstr>PScript5.dll Version 5.2.2</vt:lpwstr>
  </property>
  <property fmtid="{D5CDD505-2E9C-101B-9397-08002B2CF9AE}" pid="4" name="LastSaved">
    <vt:filetime>2019-10-21T00:00:00Z</vt:filetime>
  </property>
</Properties>
</file>